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OLE_LINK12"/>
      <w:bookmarkStart w:id="1" w:name="OLE_LINK9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Anti-obesity molecules of natural origin</w:t>
      </w:r>
    </w:p>
    <w:p>
      <w:pPr>
        <w:rPr>
          <w:rFonts w:ascii="Times New Roman" w:hAnsi="Times New Roman" w:eastAsia="Times New Roman" w:cs="Times New Roman"/>
          <w:b/>
          <w:caps/>
          <w:sz w:val="20"/>
          <w:szCs w:val="20"/>
          <w:lang w:eastAsia="bg-BG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Milen I. Georgiev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hint="eastAsia"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Liliya V. Vasileva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Martina S. Savova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200" w:lineRule="exact"/>
        <w:rPr>
          <w:rFonts w:ascii="Times New Roman" w:hAnsi="Times New Roman" w:eastAsia="Times New Roman" w:cs="Times New Roman"/>
          <w:i/>
          <w:sz w:val="20"/>
          <w:szCs w:val="20"/>
          <w:lang w:eastAsia="bg-BG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vertAlign w:val="superscript"/>
          <w:lang w:eastAsia="bg-BG"/>
        </w:rPr>
        <w:t>1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bg-BG"/>
        </w:rPr>
        <w:t>Center of Plant Systems Biology and Biotechnology, 4000 Plovdiv, Bulgaria</w:t>
      </w:r>
    </w:p>
    <w:p>
      <w:pPr>
        <w:spacing w:line="200" w:lineRule="exact"/>
        <w:rPr>
          <w:rFonts w:ascii="Times New Roman" w:hAnsi="Times New Roman" w:eastAsia="Times New Roman" w:cs="Times New Roman"/>
          <w:i/>
          <w:sz w:val="20"/>
          <w:szCs w:val="20"/>
          <w:lang w:eastAsia="bg-BG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vertAlign w:val="superscript"/>
          <w:lang w:eastAsia="bg-BG"/>
        </w:rPr>
        <w:t>2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bg-BG"/>
        </w:rPr>
        <w:t>Laboratory of Metabolomics, The Stephan Angeloff Institute of Microbiology, Bulgarian Academy of Sciences, 4000 Plovdiv, Bulgaria</w:t>
      </w:r>
    </w:p>
    <w:p>
      <w:pPr>
        <w:spacing w:line="200" w:lineRule="exact"/>
        <w:rPr>
          <w:rFonts w:ascii="Times New Roman" w:hAnsi="Times New Roman" w:eastAsia="Times New Roman" w:cs="Times New Roman"/>
          <w:i/>
          <w:sz w:val="20"/>
          <w:szCs w:val="20"/>
          <w:lang w:eastAsia="bg-BG"/>
        </w:rPr>
      </w:pPr>
    </w:p>
    <w:p>
      <w:pPr>
        <w:jc w:val="both"/>
        <w:rPr>
          <w:rFonts w:ascii="Times New Roman" w:hAnsi="Times New Roman" w:eastAsia="Times New Roman" w:cs="Times New Roman"/>
          <w:lang w:val="en-GB"/>
        </w:rPr>
      </w:pPr>
      <w:r>
        <w:rPr>
          <w:rFonts w:ascii="Times New Roman" w:hAnsi="Times New Roman" w:eastAsia="Times New Roman" w:cs="Times New Roman"/>
          <w:lang w:val="en-GB"/>
        </w:rPr>
        <w:t>Obesity has outreached the dimensions of a health problem for the countries with westernized lifestyle and has established as a global epidemic over the past 4 decades</w:t>
      </w:r>
      <w:r>
        <w:rPr>
          <w:rFonts w:ascii="Times New Roman" w:hAnsi="Times New Roman" w:eastAsia="Times New Roman" w:cs="Times New Roman"/>
          <w:vertAlign w:val="superscript"/>
          <w:lang w:val="en-GB"/>
        </w:rPr>
        <w:t>[1,2]</w:t>
      </w:r>
      <w:r>
        <w:rPr>
          <w:rFonts w:ascii="Times New Roman" w:hAnsi="Times New Roman" w:eastAsia="Times New Roman" w:cs="Times New Roman"/>
          <w:lang w:val="en-GB"/>
        </w:rPr>
        <w:t>. Excessive body weight is among the top five risk factors in terms of attributable deaths and metabolic complications development</w:t>
      </w:r>
      <w:r>
        <w:rPr>
          <w:rFonts w:ascii="Times New Roman" w:hAnsi="Times New Roman" w:eastAsia="Times New Roman" w:cs="Times New Roman"/>
          <w:vertAlign w:val="superscript"/>
          <w:lang w:val="en-GB"/>
        </w:rPr>
        <w:t>[2,3]</w:t>
      </w:r>
      <w:r>
        <w:rPr>
          <w:rFonts w:ascii="Times New Roman" w:hAnsi="Times New Roman" w:eastAsia="Times New Roman" w:cs="Times New Roman"/>
          <w:lang w:val="en-GB"/>
        </w:rPr>
        <w:t>. Furthermore, health-care burden associated with obesity-</w:t>
      </w:r>
      <w:r>
        <w:rPr>
          <w:rFonts w:hint="eastAsia" w:ascii="Times New Roman" w:hAnsi="Times New Roman" w:eastAsia="Times New Roman" w:cs="Times New Roman"/>
          <w:lang w:val="en-GB"/>
        </w:rPr>
        <w:t xml:space="preserve"> </w:t>
      </w:r>
      <w:r>
        <w:rPr>
          <w:rFonts w:ascii="Times New Roman" w:hAnsi="Times New Roman" w:eastAsia="Times New Roman" w:cs="Times New Roman"/>
          <w:lang w:val="en-GB"/>
        </w:rPr>
        <w:t>related diseases is expected to rise by 2030</w:t>
      </w:r>
      <w:r>
        <w:rPr>
          <w:rFonts w:ascii="Times New Roman" w:hAnsi="Times New Roman" w:eastAsia="Times New Roman" w:cs="Times New Roman"/>
          <w:vertAlign w:val="superscript"/>
          <w:lang w:val="en-GB"/>
        </w:rPr>
        <w:t>[3]</w:t>
      </w:r>
      <w:r>
        <w:rPr>
          <w:rFonts w:ascii="Times New Roman" w:hAnsi="Times New Roman" w:eastAsia="Times New Roman" w:cs="Times New Roman"/>
          <w:lang w:val="en-GB"/>
        </w:rPr>
        <w:t>. Consequently, the prevention and treatment of obesity are subjects undergoing intense research</w:t>
      </w:r>
      <w:r>
        <w:rPr>
          <w:rFonts w:ascii="Times New Roman" w:hAnsi="Times New Roman" w:eastAsia="Times New Roman" w:cs="Times New Roman"/>
          <w:vertAlign w:val="superscript"/>
          <w:lang w:val="en-GB"/>
        </w:rPr>
        <w:t>[4]</w:t>
      </w:r>
      <w:r>
        <w:rPr>
          <w:rFonts w:ascii="Times New Roman" w:hAnsi="Times New Roman" w:eastAsia="Times New Roman" w:cs="Times New Roman"/>
          <w:lang w:val="en-GB"/>
        </w:rPr>
        <w:t xml:space="preserve">. In this respect, compounds of natural origin attract profound interest as candidates for anti-obesity therapy. </w:t>
      </w:r>
      <w:r>
        <w:rPr>
          <w:rFonts w:ascii="Times New Roman" w:hAnsi="Times New Roman" w:eastAsia="Times New Roman" w:cs="Times New Roman"/>
        </w:rPr>
        <w:t xml:space="preserve">Rosmarinic acid (RA) is a </w:t>
      </w:r>
      <w:r>
        <w:rPr>
          <w:rFonts w:ascii="Times New Roman" w:hAnsi="Times New Roman" w:eastAsia="Times New Roman" w:cs="Times New Roman"/>
          <w:lang w:val="en-GB"/>
        </w:rPr>
        <w:t xml:space="preserve">natural compound </w:t>
      </w:r>
      <w:r>
        <w:rPr>
          <w:rFonts w:ascii="Times New Roman" w:hAnsi="Times New Roman" w:eastAsia="Times New Roman" w:cs="Times New Roman"/>
        </w:rPr>
        <w:t xml:space="preserve">known for its anti-inflammatory effects, however, </w:t>
      </w:r>
      <w:r>
        <w:rPr>
          <w:rFonts w:ascii="Times New Roman" w:hAnsi="Times New Roman" w:eastAsia="Times New Roman" w:cs="Times New Roman"/>
          <w:lang w:val="en-GB"/>
        </w:rPr>
        <w:t>insufficiently examined in context of obesity</w:t>
      </w:r>
      <w:r>
        <w:rPr>
          <w:rFonts w:ascii="Times New Roman" w:hAnsi="Times New Roman" w:eastAsia="Times New Roman" w:cs="Times New Roman"/>
        </w:rPr>
        <w:t xml:space="preserve">. </w:t>
      </w:r>
      <w:r>
        <w:rPr>
          <w:rFonts w:ascii="Times New Roman" w:hAnsi="Times New Roman" w:eastAsia="Times New Roman" w:cs="Times New Roman"/>
          <w:lang w:val="en-GB"/>
        </w:rPr>
        <w:t>We have</w:t>
      </w:r>
      <w:r>
        <w:rPr>
          <w:rFonts w:ascii="Times New Roman" w:hAnsi="Times New Roman" w:eastAsia="Times New Roman" w:cs="Times New Roman"/>
        </w:rPr>
        <w:t xml:space="preserve"> investigated the anti-adipogenic action of RA in human </w:t>
      </w:r>
      <w:r>
        <w:rPr>
          <w:rFonts w:ascii="Times New Roman" w:hAnsi="Times New Roman" w:cs="Times New Roman"/>
        </w:rPr>
        <w:t>adipocytes.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most prominent effect was found on </w:t>
      </w:r>
      <w:r>
        <w:rPr>
          <w:rFonts w:ascii="Times New Roman" w:hAnsi="Times New Roman" w:cs="Times New Roman"/>
          <w:lang w:val="en-GB"/>
        </w:rPr>
        <w:t>the key adipogenic factors CCAAT-enhancer-binding protein alpha (</w:t>
      </w:r>
      <w:r>
        <w:rPr>
          <w:rFonts w:ascii="Times New Roman" w:hAnsi="Times New Roman" w:cs="Times New Roman"/>
        </w:rPr>
        <w:t>C/EBPα</w:t>
      </w:r>
      <w:r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</w:rPr>
        <w:t xml:space="preserve">, peroxisome proliferator-activated receptor gamma </w:t>
      </w:r>
      <w:r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</w:rPr>
        <w:t>PPARγ</w:t>
      </w:r>
      <w:r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</w:rPr>
        <w:t xml:space="preserve"> and adiponectin, as well as on the modulation of transforming growth factor beta and</w:t>
      </w:r>
      <w:r>
        <w:rPr>
          <w:rFonts w:ascii="Times New Roman" w:hAnsi="Times New Roman" w:cs="Times New Roman"/>
          <w:lang w:val="en-GB"/>
        </w:rPr>
        <w:t xml:space="preserve"> interleukin 17A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GB"/>
        </w:rPr>
        <w:t>Results</w:t>
      </w:r>
      <w:r>
        <w:rPr>
          <w:rFonts w:ascii="Times New Roman" w:hAnsi="Times New Roman" w:cs="Times New Roman"/>
        </w:rPr>
        <w:t xml:space="preserve"> indicate that RA prevents inflammation and excessive lipid accumulation in human adipocytes and has potential for treatment of obesity and obesity-related inflammation</w:t>
      </w:r>
      <w:r>
        <w:rPr>
          <w:rFonts w:ascii="Times New Roman" w:hAnsi="Times New Roman" w:cs="Times New Roman"/>
          <w:vertAlign w:val="superscript"/>
          <w:lang w:val="en-GB"/>
        </w:rPr>
        <w:t>[5]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lang w:eastAsia="bg-BG"/>
        </w:rPr>
        <w:t xml:space="preserve">Combinatorial treatment is receiving close view as an </w:t>
      </w:r>
      <w:r>
        <w:rPr>
          <w:rFonts w:ascii="Times New Roman" w:hAnsi="Times New Roman" w:eastAsia="Times New Roman" w:cs="Times New Roman"/>
          <w:lang w:val="en-GB" w:eastAsia="bg-BG"/>
        </w:rPr>
        <w:t xml:space="preserve">attractive </w:t>
      </w:r>
      <w:r>
        <w:rPr>
          <w:rFonts w:ascii="Times New Roman" w:hAnsi="Times New Roman" w:eastAsia="Times New Roman" w:cs="Times New Roman"/>
          <w:lang w:eastAsia="bg-BG"/>
        </w:rPr>
        <w:t>approach against obesity. We have evaluated the anti-obesity potential of caffeic acid (CA) and chlorogenic acid (CGA) as co-treatment in human adipocytes. The combination of CA/CGA elevated browning gene expression levels. Mechanistically, AMP-activated protein kinase (AMPK) and PPAR-related pathways were identified as the major involved. The observed browning-inducing potential in adipocytes upon CA/CGA co-stimulation merits implementation in obesity management</w:t>
      </w:r>
      <w:r>
        <w:rPr>
          <w:rFonts w:ascii="Times New Roman" w:hAnsi="Times New Roman" w:eastAsia="Times New Roman" w:cs="Times New Roman"/>
          <w:vertAlign w:val="superscript"/>
          <w:lang w:eastAsia="bg-BG"/>
        </w:rPr>
        <w:t>[6]</w:t>
      </w:r>
      <w:r>
        <w:rPr>
          <w:rFonts w:ascii="Times New Roman" w:hAnsi="Times New Roman" w:eastAsia="Times New Roman" w:cs="Times New Roman"/>
          <w:lang w:eastAsia="bg-BG"/>
        </w:rPr>
        <w:t xml:space="preserve">. </w:t>
      </w:r>
    </w:p>
    <w:bookmarkEnd w:id="0"/>
    <w:p>
      <w:pPr>
        <w:tabs>
          <w:tab w:val="left" w:pos="3287"/>
        </w:tabs>
        <w:ind w:firstLine="567"/>
        <w:rPr>
          <w:rFonts w:ascii="Times New Roman" w:hAnsi="Times New Roman" w:eastAsia="Times New Roman" w:cs="Times New Roman"/>
          <w:lang w:eastAsia="bg-BG"/>
        </w:rPr>
      </w:pPr>
      <w:r>
        <w:rPr>
          <w:rFonts w:ascii="Times New Roman" w:hAnsi="Times New Roman" w:eastAsia="Times New Roman" w:cs="Times New Roman"/>
          <w:lang w:eastAsia="bg-BG"/>
        </w:rPr>
        <w:tab/>
      </w:r>
    </w:p>
    <w:p>
      <w:pPr>
        <w:rPr>
          <w:rFonts w:ascii="Times New Roman" w:hAnsi="Times New Roman" w:cs="Times New Roman"/>
          <w:b/>
        </w:rPr>
      </w:pPr>
      <w:bookmarkStart w:id="2" w:name="OLE_LINK11"/>
      <w:r>
        <w:rPr>
          <w:rFonts w:ascii="Times New Roman" w:hAnsi="Times New Roman" w:cs="Times New Roman"/>
          <w:b/>
        </w:rPr>
        <w:t xml:space="preserve">Acknowledgments: </w:t>
      </w:r>
    </w:p>
    <w:p>
      <w:pPr>
        <w:jc w:val="both"/>
        <w:rPr>
          <w:rFonts w:ascii="Times New Roman" w:hAnsi="Times New Roman" w:eastAsia="Times New Roman" w:cs="Times New Roman"/>
          <w:lang w:eastAsia="bg-BG"/>
        </w:rPr>
      </w:pPr>
      <w:r>
        <w:rPr>
          <w:rFonts w:ascii="Times New Roman" w:hAnsi="Times New Roman" w:eastAsia="Times New Roman" w:cs="Times New Roman"/>
          <w:lang w:eastAsia="bg-BG"/>
        </w:rPr>
        <w:t>This research received funding from the European Union’s Horizon 2020 research and innovation pro</w:t>
      </w:r>
      <w:r>
        <w:rPr>
          <w:rFonts w:ascii="Times New Roman" w:hAnsi="Times New Roman" w:eastAsia="Times New Roman" w:cs="Times New Roman"/>
          <w:lang w:val="en-GB" w:eastAsia="bg-BG"/>
        </w:rPr>
        <w:t>i</w:t>
      </w:r>
      <w:r>
        <w:rPr>
          <w:rFonts w:ascii="Times New Roman" w:hAnsi="Times New Roman" w:eastAsia="Times New Roman" w:cs="Times New Roman"/>
          <w:lang w:eastAsia="bg-BG"/>
        </w:rPr>
        <w:t>gramme, project PlantaSYST (SGA No 739582 under FPA No. 664620), and the BG05M2OP001-1.003-001-C01 project, financed by the European Regional Development Fund through the “Science and Education for Smart Growth” Operational Programme.</w:t>
      </w:r>
    </w:p>
    <w:bookmarkEnd w:id="2"/>
    <w:p>
      <w:pPr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line="200" w:lineRule="exact"/>
        <w:ind w:left="200" w:hanging="200" w:hangingChars="100"/>
        <w:rPr>
          <w:rFonts w:ascii="Times New Roman" w:hAnsi="Times New Roman" w:cs="Times New Roman"/>
          <w:sz w:val="20"/>
          <w:szCs w:val="20"/>
          <w:lang w:val="en-GB"/>
        </w:rPr>
      </w:pPr>
      <w:bookmarkStart w:id="3" w:name="OLE_LINK10"/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  <w:lang w:val="en-GB"/>
        </w:rPr>
        <w:t>Jaacks LM, Vandevijvere S, Pan A, et al. Lancet Diabetes and Endocrinology, 2019, 7, 231-240.</w:t>
      </w: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2. NCD-RisC. Nature, 2019, 569, 260</w:t>
      </w:r>
      <w:r>
        <w:rPr>
          <w:rFonts w:hint="eastAsia" w:ascii="Times New Roman" w:hAnsi="Times New Roman" w:cs="Times New Roman"/>
          <w:sz w:val="20"/>
          <w:szCs w:val="20"/>
          <w:lang w:val="en-GB"/>
        </w:rPr>
        <w:t>-</w:t>
      </w:r>
      <w:r>
        <w:rPr>
          <w:rFonts w:ascii="Times New Roman" w:hAnsi="Times New Roman" w:cs="Times New Roman"/>
          <w:sz w:val="20"/>
          <w:szCs w:val="20"/>
          <w:lang w:val="en-GB"/>
        </w:rPr>
        <w:t>264.</w:t>
      </w: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  <w:lang w:val="en-GB"/>
        </w:rPr>
        <w:t>Stefan N. Lancet Diabetes and Endocrinology, 2020, 8, 616-627.</w:t>
      </w: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4. Flaherty SE, Grijalva A, Xu XY, et al. Science, 2019, 363, 989-993.</w:t>
      </w: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5. Vasileva L. International Journal of Obesity, 2020, submitted.</w:t>
      </w:r>
    </w:p>
    <w:p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6. Vasileva L. Food and Chemical Toxicology, 2020, submitted.</w:t>
      </w:r>
    </w:p>
    <w:bookmarkEnd w:id="1"/>
    <w:bookmarkEnd w:id="3"/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2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2021-05-27T03:21:50Z</dcterms:created>
  <dc:creator>联想</dc:creator>
  <cp:lastModifiedBy>联想</cp:lastModifiedBy>
  <dcterms:modified xsi:type="dcterms:W3CDTF">2021-05-27T03:22:25Z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50B70F5019484B9B922CFFFE86174755</vt:lpwstr>
  </property>
</Properties>
</file>